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C49" w:rsidRDefault="00243C49"/>
    <w:p w:rsidR="00243C49" w:rsidRDefault="00243C49"/>
    <w:p w:rsidR="00243C49" w:rsidRDefault="00243C49"/>
    <w:p w:rsidR="00243C49" w:rsidRDefault="00243C49"/>
    <w:p w:rsidR="00243C49" w:rsidRDefault="00243C49"/>
    <w:p w:rsidR="00243C49" w:rsidRDefault="00243C49"/>
    <w:p w:rsidR="00243C49" w:rsidRDefault="00243C49">
      <w:r>
        <w:rPr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414817EE" wp14:editId="05CAE78C">
                <wp:simplePos x="0" y="0"/>
                <wp:positionH relativeFrom="column">
                  <wp:posOffset>1623060</wp:posOffset>
                </wp:positionH>
                <wp:positionV relativeFrom="paragraph">
                  <wp:posOffset>220345</wp:posOffset>
                </wp:positionV>
                <wp:extent cx="5257800" cy="240030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7800" cy="2400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126D4" id="Rectangle 23" o:spid="_x0000_s1026" style="position:absolute;margin-left:127.8pt;margin-top:17.35pt;width:414pt;height:189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" fillcolor="#c00000" strokecolor="black [3213]" strokeweight="1pt"/>
            </w:pict>
          </mc:Fallback>
        </mc:AlternateContent>
      </w:r>
    </w:p>
    <w:p w:rsidR="00243C49" w:rsidRDefault="00243C49">
      <w:r w:rsidRPr="00243C4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723CE" wp14:editId="436554B3">
                <wp:simplePos x="0" y="0"/>
                <wp:positionH relativeFrom="column">
                  <wp:posOffset>1573530</wp:posOffset>
                </wp:positionH>
                <wp:positionV relativeFrom="paragraph">
                  <wp:posOffset>598170</wp:posOffset>
                </wp:positionV>
                <wp:extent cx="5553075" cy="9715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971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3C49" w:rsidRDefault="00CB7B8A" w:rsidP="00243C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GUS Security Annual Review </w:t>
                            </w:r>
                            <w:r w:rsidR="00243C49">
                              <w:rPr>
                                <w:sz w:val="44"/>
                                <w:szCs w:val="44"/>
                              </w:rPr>
                              <w:t>System</w:t>
                            </w:r>
                          </w:p>
                          <w:p w:rsidR="00243C49" w:rsidRPr="00CE4171" w:rsidRDefault="00243C49" w:rsidP="00243C49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User Guide</w:t>
                            </w:r>
                          </w:p>
                          <w:p w:rsidR="00243C49" w:rsidRDefault="00243C49" w:rsidP="00243C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243C49" w:rsidRDefault="00243C49" w:rsidP="00243C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B</w:t>
                            </w:r>
                          </w:p>
                          <w:p w:rsidR="00243C49" w:rsidRPr="00CE4171" w:rsidRDefault="00243C49" w:rsidP="00243C49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3723CE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23.9pt;margin-top:47.1pt;width:437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" fillcolor="#d8d8d8 [2732]" stroked="f" strokeweight=".5pt">
                <v:textbox>
                  <w:txbxContent>
                    <w:p w:rsidR="00243C49" w:rsidRDefault="00CB7B8A" w:rsidP="00243C4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GUS Security Annual Review </w:t>
                      </w:r>
                      <w:r w:rsidR="00243C49">
                        <w:rPr>
                          <w:sz w:val="44"/>
                          <w:szCs w:val="44"/>
                        </w:rPr>
                        <w:t>System</w:t>
                      </w:r>
                    </w:p>
                    <w:p w:rsidR="00243C49" w:rsidRPr="00CE4171" w:rsidRDefault="00243C49" w:rsidP="00243C49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User Guide</w:t>
                      </w:r>
                    </w:p>
                    <w:p w:rsidR="00243C49" w:rsidRDefault="00243C49" w:rsidP="00243C49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243C49" w:rsidRDefault="00243C49" w:rsidP="00243C49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B</w:t>
                      </w:r>
                    </w:p>
                    <w:p w:rsidR="00243C49" w:rsidRPr="00CE4171" w:rsidRDefault="00243C49" w:rsidP="00243C49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7657">
        <w:rPr>
          <w:rFonts w:ascii="Calibri" w:eastAsia="Calibri" w:hAnsi="Calibri" w:cs="Times New Roman"/>
          <w:noProof/>
        </w:rPr>
        <w:drawing>
          <wp:inline distT="0" distB="0" distL="0" distR="0" wp14:anchorId="106A3559" wp14:editId="558D5EBD">
            <wp:extent cx="1550958" cy="1293963"/>
            <wp:effectExtent l="19050" t="0" r="0" b="0"/>
            <wp:docPr id="22" name="Picture 1" descr="C:\Documents and Settings\loganalisar\Local Settings\Temporary Internet Files\Content.IE5\F4DC8V0V\UAMSLOGO-2C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ganalisar\Local Settings\Temporary Internet Files\Content.IE5\F4DC8V0V\UAMSLOGO-2C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09" cy="1296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27370847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43C49" w:rsidRDefault="00243C49">
          <w:pPr>
            <w:pStyle w:val="TOCHeading"/>
          </w:pPr>
          <w:r>
            <w:t>Contents</w:t>
          </w:r>
        </w:p>
        <w:p w:rsidR="00505895" w:rsidRDefault="00243C4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565621" w:history="1">
            <w:r w:rsidR="00505895" w:rsidRPr="005F68BF">
              <w:rPr>
                <w:rStyle w:val="Hyperlink"/>
                <w:noProof/>
              </w:rPr>
              <w:t>GUS Security Annual Review System User Guide</w:t>
            </w:r>
            <w:r w:rsidR="00505895">
              <w:rPr>
                <w:noProof/>
                <w:webHidden/>
              </w:rPr>
              <w:tab/>
            </w:r>
            <w:r w:rsidR="00505895">
              <w:rPr>
                <w:noProof/>
                <w:webHidden/>
              </w:rPr>
              <w:fldChar w:fldCharType="begin"/>
            </w:r>
            <w:r w:rsidR="00505895">
              <w:rPr>
                <w:noProof/>
                <w:webHidden/>
              </w:rPr>
              <w:instrText xml:space="preserve"> PAGEREF _Toc504565621 \h </w:instrText>
            </w:r>
            <w:r w:rsidR="00505895">
              <w:rPr>
                <w:noProof/>
                <w:webHidden/>
              </w:rPr>
            </w:r>
            <w:r w:rsidR="00505895">
              <w:rPr>
                <w:noProof/>
                <w:webHidden/>
              </w:rPr>
              <w:fldChar w:fldCharType="separate"/>
            </w:r>
            <w:r w:rsidR="003D6604">
              <w:rPr>
                <w:noProof/>
                <w:webHidden/>
              </w:rPr>
              <w:t>3</w:t>
            </w:r>
            <w:r w:rsidR="00505895">
              <w:rPr>
                <w:noProof/>
                <w:webHidden/>
              </w:rPr>
              <w:fldChar w:fldCharType="end"/>
            </w:r>
          </w:hyperlink>
        </w:p>
        <w:p w:rsidR="00505895" w:rsidRDefault="003D66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65622" w:history="1">
            <w:r w:rsidR="00505895" w:rsidRPr="005F68BF">
              <w:rPr>
                <w:rStyle w:val="Hyperlink"/>
                <w:noProof/>
              </w:rPr>
              <w:t>Reviewing employees</w:t>
            </w:r>
            <w:r w:rsidR="00505895">
              <w:rPr>
                <w:noProof/>
                <w:webHidden/>
              </w:rPr>
              <w:tab/>
            </w:r>
            <w:r w:rsidR="00505895">
              <w:rPr>
                <w:noProof/>
                <w:webHidden/>
              </w:rPr>
              <w:fldChar w:fldCharType="begin"/>
            </w:r>
            <w:r w:rsidR="00505895">
              <w:rPr>
                <w:noProof/>
                <w:webHidden/>
              </w:rPr>
              <w:instrText xml:space="preserve"> PAGEREF _Toc504565622 \h </w:instrText>
            </w:r>
            <w:r w:rsidR="00505895">
              <w:rPr>
                <w:noProof/>
                <w:webHidden/>
              </w:rPr>
            </w:r>
            <w:r w:rsidR="005058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505895">
              <w:rPr>
                <w:noProof/>
                <w:webHidden/>
              </w:rPr>
              <w:fldChar w:fldCharType="end"/>
            </w:r>
          </w:hyperlink>
        </w:p>
        <w:p w:rsidR="00505895" w:rsidRDefault="003D66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65623" w:history="1">
            <w:r w:rsidR="00505895" w:rsidRPr="005F68BF">
              <w:rPr>
                <w:rStyle w:val="Hyperlink"/>
                <w:noProof/>
              </w:rPr>
              <w:t>Additional Information</w:t>
            </w:r>
            <w:r w:rsidR="00505895">
              <w:rPr>
                <w:noProof/>
                <w:webHidden/>
              </w:rPr>
              <w:tab/>
            </w:r>
            <w:r w:rsidR="00505895">
              <w:rPr>
                <w:noProof/>
                <w:webHidden/>
              </w:rPr>
              <w:fldChar w:fldCharType="begin"/>
            </w:r>
            <w:r w:rsidR="00505895">
              <w:rPr>
                <w:noProof/>
                <w:webHidden/>
              </w:rPr>
              <w:instrText xml:space="preserve"> PAGEREF _Toc504565623 \h </w:instrText>
            </w:r>
            <w:r w:rsidR="00505895">
              <w:rPr>
                <w:noProof/>
                <w:webHidden/>
              </w:rPr>
            </w:r>
            <w:r w:rsidR="005058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505895">
              <w:rPr>
                <w:noProof/>
                <w:webHidden/>
              </w:rPr>
              <w:fldChar w:fldCharType="end"/>
            </w:r>
          </w:hyperlink>
        </w:p>
        <w:p w:rsidR="00505895" w:rsidRDefault="003D660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504565624" w:history="1">
            <w:r w:rsidR="00505895" w:rsidRPr="005F68BF">
              <w:rPr>
                <w:rStyle w:val="Hyperlink"/>
                <w:noProof/>
              </w:rPr>
              <w:t>Delegating and Reassigning Reviews</w:t>
            </w:r>
            <w:r w:rsidR="00505895">
              <w:rPr>
                <w:noProof/>
                <w:webHidden/>
              </w:rPr>
              <w:tab/>
            </w:r>
            <w:r w:rsidR="00505895">
              <w:rPr>
                <w:noProof/>
                <w:webHidden/>
              </w:rPr>
              <w:fldChar w:fldCharType="begin"/>
            </w:r>
            <w:r w:rsidR="00505895">
              <w:rPr>
                <w:noProof/>
                <w:webHidden/>
              </w:rPr>
              <w:instrText xml:space="preserve"> PAGEREF _Toc504565624 \h </w:instrText>
            </w:r>
            <w:r w:rsidR="00505895">
              <w:rPr>
                <w:noProof/>
                <w:webHidden/>
              </w:rPr>
            </w:r>
            <w:r w:rsidR="0050589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505895">
              <w:rPr>
                <w:noProof/>
                <w:webHidden/>
              </w:rPr>
              <w:fldChar w:fldCharType="end"/>
            </w:r>
          </w:hyperlink>
        </w:p>
        <w:p w:rsidR="00243C49" w:rsidRDefault="00243C49">
          <w:r>
            <w:rPr>
              <w:b/>
              <w:bCs/>
              <w:noProof/>
            </w:rPr>
            <w:fldChar w:fldCharType="end"/>
          </w:r>
        </w:p>
      </w:sdtContent>
    </w:sdt>
    <w:p w:rsidR="00243C49" w:rsidRDefault="00243C49">
      <w:r>
        <w:br w:type="page"/>
      </w:r>
      <w:bookmarkStart w:id="0" w:name="_GoBack"/>
      <w:bookmarkEnd w:id="0"/>
    </w:p>
    <w:p w:rsidR="00243C49" w:rsidRPr="00243C49" w:rsidRDefault="00243C49"/>
    <w:p w:rsidR="0074564E" w:rsidRDefault="00CB7B8A" w:rsidP="007B1710">
      <w:pPr>
        <w:pStyle w:val="Heading1"/>
      </w:pPr>
      <w:bookmarkStart w:id="1" w:name="_Toc504565621"/>
      <w:r>
        <w:t xml:space="preserve">GUS Security Annual Review </w:t>
      </w:r>
      <w:r w:rsidR="00147C2A">
        <w:t>System User</w:t>
      </w:r>
      <w:r w:rsidR="007B1710">
        <w:t xml:space="preserve"> Guide</w:t>
      </w:r>
      <w:bookmarkEnd w:id="1"/>
    </w:p>
    <w:p w:rsidR="007B1710" w:rsidRDefault="007B1710" w:rsidP="007B1710">
      <w:r>
        <w:t>This document will provide th</w:t>
      </w:r>
      <w:r w:rsidR="00147C2A">
        <w:t>e basic instructions for navigating</w:t>
      </w:r>
      <w:r w:rsidR="00CB7B8A">
        <w:t xml:space="preserve"> the GUS security annual review system</w:t>
      </w:r>
      <w:r w:rsidR="00147C2A">
        <w:t>.</w:t>
      </w:r>
    </w:p>
    <w:p w:rsidR="00676DBD" w:rsidRDefault="00CB7B8A" w:rsidP="007B1710">
      <w:r>
        <w:t xml:space="preserve">You can access the system at </w:t>
      </w:r>
      <w:hyperlink r:id="rId7" w:history="1">
        <w:r w:rsidR="00676DBD" w:rsidRPr="002C120E">
          <w:rPr>
            <w:rStyle w:val="Hyperlink"/>
          </w:rPr>
          <w:t>http://apps.uams.edu/GUSSecurityAudit</w:t>
        </w:r>
      </w:hyperlink>
    </w:p>
    <w:p w:rsidR="00A7746E" w:rsidRDefault="00A7746E" w:rsidP="007B1710">
      <w:r>
        <w:t xml:space="preserve">For questions, please contact </w:t>
      </w:r>
      <w:hyperlink r:id="rId8" w:history="1">
        <w:r w:rsidRPr="002C120E">
          <w:rPr>
            <w:rStyle w:val="Hyperlink"/>
          </w:rPr>
          <w:t>Techsupportcenter@uams.edu</w:t>
        </w:r>
      </w:hyperlink>
      <w:r>
        <w:t xml:space="preserve"> for assistance.</w:t>
      </w:r>
    </w:p>
    <w:p w:rsidR="007B1710" w:rsidRDefault="00CB7B8A" w:rsidP="007B1710">
      <w:pPr>
        <w:pStyle w:val="Heading2"/>
      </w:pPr>
      <w:bookmarkStart w:id="2" w:name="_Toc504565622"/>
      <w:r>
        <w:t>Reviewing employees</w:t>
      </w:r>
      <w:bookmarkEnd w:id="2"/>
    </w:p>
    <w:p w:rsidR="000165E3" w:rsidRPr="000165E3" w:rsidRDefault="000165E3" w:rsidP="000165E3">
      <w:r>
        <w:t>All GUS user roles must be audited annually.  Approving a role will log the approval for audit purposes but no further action will be taken.  Revoking a role will notify UAMS IT Security to revoke the user’s access for that specified role – revoking one role will not affect the other roles if an employee has multiple GUS user roles.  You must review all employees assigned to you and their roles.</w:t>
      </w:r>
    </w:p>
    <w:p w:rsidR="00B743E4" w:rsidRDefault="00035D78" w:rsidP="007B1710">
      <w:pPr>
        <w:rPr>
          <w:noProof/>
        </w:rPr>
      </w:pPr>
      <w:r>
        <w:t>After logging in, t</w:t>
      </w:r>
      <w:r w:rsidR="00FC5C4A">
        <w:t>he home screen will display your list of employees and their associated GUS roles</w:t>
      </w:r>
      <w:r w:rsidR="00FC5C4A">
        <w:rPr>
          <w:noProof/>
        </w:rPr>
        <w:t>.  You can either approve or revoke an employee’s access based on their role</w:t>
      </w:r>
      <w:r w:rsidR="000165E3">
        <w:rPr>
          <w:noProof/>
        </w:rPr>
        <w:t>.</w:t>
      </w:r>
      <w:r w:rsidR="00FC5C4A">
        <w:rPr>
          <w:noProof/>
        </w:rPr>
        <w:t xml:space="preserve"> </w:t>
      </w:r>
    </w:p>
    <w:p w:rsidR="000165E3" w:rsidRDefault="000165E3" w:rsidP="007B1710">
      <w:r>
        <w:rPr>
          <w:noProof/>
        </w:rPr>
        <w:drawing>
          <wp:inline distT="0" distB="0" distL="0" distR="0" wp14:anchorId="5366DAA0" wp14:editId="6C0FC624">
            <wp:extent cx="4434840" cy="3139924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39458" cy="314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5E3" w:rsidRDefault="000165E3" w:rsidP="000165E3">
      <w:pPr>
        <w:pStyle w:val="ListParagraph"/>
        <w:numPr>
          <w:ilvl w:val="0"/>
          <w:numId w:val="2"/>
        </w:numPr>
      </w:pPr>
      <w:r>
        <w:t>Employee name(s)</w:t>
      </w:r>
    </w:p>
    <w:p w:rsidR="000165E3" w:rsidRDefault="000165E3" w:rsidP="000165E3">
      <w:pPr>
        <w:pStyle w:val="ListParagraph"/>
        <w:numPr>
          <w:ilvl w:val="0"/>
          <w:numId w:val="2"/>
        </w:numPr>
      </w:pPr>
      <w:r>
        <w:t>GUS user roles</w:t>
      </w:r>
    </w:p>
    <w:p w:rsidR="000165E3" w:rsidRDefault="000165E3" w:rsidP="000165E3">
      <w:pPr>
        <w:pStyle w:val="ListParagraph"/>
        <w:numPr>
          <w:ilvl w:val="0"/>
          <w:numId w:val="2"/>
        </w:numPr>
      </w:pPr>
      <w:r w:rsidRPr="000165E3">
        <w:rPr>
          <w:b/>
        </w:rPr>
        <w:t>Approve</w:t>
      </w:r>
      <w:r>
        <w:t xml:space="preserve"> or </w:t>
      </w:r>
      <w:r w:rsidRPr="000165E3">
        <w:rPr>
          <w:b/>
        </w:rPr>
        <w:t>Revoke</w:t>
      </w:r>
      <w:r>
        <w:t xml:space="preserve"> roles</w:t>
      </w:r>
    </w:p>
    <w:p w:rsidR="000165E3" w:rsidRDefault="000165E3" w:rsidP="000165E3">
      <w:pPr>
        <w:pStyle w:val="ListParagraph"/>
        <w:numPr>
          <w:ilvl w:val="0"/>
          <w:numId w:val="2"/>
        </w:numPr>
      </w:pPr>
      <w:r>
        <w:t>Process all selections</w:t>
      </w:r>
    </w:p>
    <w:p w:rsidR="004B28B7" w:rsidRDefault="004B28B7" w:rsidP="007B1710"/>
    <w:p w:rsidR="00093348" w:rsidRDefault="00093348" w:rsidP="007B1710">
      <w:r>
        <w:t xml:space="preserve">There are two options for approving/revoking roles: either </w:t>
      </w:r>
      <w:r w:rsidRPr="00093348">
        <w:rPr>
          <w:b/>
        </w:rPr>
        <w:t>Approve All</w:t>
      </w:r>
      <w:r>
        <w:t xml:space="preserve"> or </w:t>
      </w:r>
      <w:r w:rsidRPr="00093348">
        <w:rPr>
          <w:b/>
        </w:rPr>
        <w:t>Revoke All</w:t>
      </w:r>
      <w:r>
        <w:t xml:space="preserve"> at the to</w:t>
      </w:r>
      <w:r w:rsidR="00615055">
        <w:t>p</w:t>
      </w:r>
      <w:r w:rsidR="00505895">
        <w:t xml:space="preserve"> or make individual selections next to each employee/role.</w:t>
      </w:r>
      <w:r w:rsidR="00615055">
        <w:t xml:space="preserve"> </w:t>
      </w:r>
    </w:p>
    <w:p w:rsidR="00615055" w:rsidRDefault="00615055" w:rsidP="007B1710">
      <w:r>
        <w:lastRenderedPageBreak/>
        <w:t xml:space="preserve">Once you have made your selections, select </w:t>
      </w:r>
      <w:r w:rsidRPr="00615055">
        <w:rPr>
          <w:b/>
        </w:rPr>
        <w:t>Process selected actions</w:t>
      </w:r>
      <w:r>
        <w:t xml:space="preserve"> at the bottom of the page and the system will log them.  Employees with roles to be revoked with be processed within 2-3 days of your review.</w:t>
      </w:r>
    </w:p>
    <w:p w:rsidR="00615055" w:rsidRDefault="00615055" w:rsidP="007B1710">
      <w:r>
        <w:t>You do not have to review all employees and roles at one time – you can process selections in increments until completed.</w:t>
      </w:r>
      <w:r w:rsidR="00505895">
        <w:t xml:space="preserve">  Pending reviews will remain in your queue until approve or revoke selected and processed.</w:t>
      </w:r>
    </w:p>
    <w:p w:rsidR="00615055" w:rsidRDefault="00615055" w:rsidP="00615055">
      <w:pPr>
        <w:pStyle w:val="Heading2"/>
      </w:pPr>
      <w:bookmarkStart w:id="3" w:name="_Toc504565623"/>
      <w:r>
        <w:t>Additional Information</w:t>
      </w:r>
      <w:bookmarkEnd w:id="3"/>
    </w:p>
    <w:p w:rsidR="00615055" w:rsidRDefault="00615055" w:rsidP="00615055">
      <w:r>
        <w:t xml:space="preserve">If you have questions regarding GUS user roles, you have two options for additional information.  At the top of the menu, you can access role descriptions by selecting </w:t>
      </w:r>
      <w:r w:rsidRPr="00615055">
        <w:rPr>
          <w:b/>
        </w:rPr>
        <w:t>Role Definitions</w:t>
      </w:r>
      <w:r>
        <w:t xml:space="preserve">. If you need further information on GUS security and roles, select </w:t>
      </w:r>
      <w:r w:rsidRPr="00615055">
        <w:rPr>
          <w:b/>
        </w:rPr>
        <w:t>Additional Information</w:t>
      </w:r>
      <w:r>
        <w:t xml:space="preserve"> to be taken to the GUS information site.</w:t>
      </w:r>
    </w:p>
    <w:p w:rsidR="00615055" w:rsidRDefault="00615055" w:rsidP="00615055">
      <w:r>
        <w:rPr>
          <w:noProof/>
        </w:rPr>
        <w:drawing>
          <wp:inline distT="0" distB="0" distL="0" distR="0" wp14:anchorId="67B28A44" wp14:editId="13736F7A">
            <wp:extent cx="4046571" cy="4648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46571" cy="46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004" w:rsidRDefault="00542004" w:rsidP="00615055">
      <w:r w:rsidRPr="00542004">
        <w:rPr>
          <w:b/>
        </w:rPr>
        <w:t>Role Definitions</w:t>
      </w:r>
      <w:r>
        <w:t xml:space="preserve"> will display the role, short and long description:</w:t>
      </w:r>
    </w:p>
    <w:p w:rsidR="00875D90" w:rsidRDefault="00542004" w:rsidP="00615055">
      <w:r>
        <w:rPr>
          <w:noProof/>
        </w:rPr>
        <w:drawing>
          <wp:inline distT="0" distB="0" distL="0" distR="0">
            <wp:extent cx="4884002" cy="2865120"/>
            <wp:effectExtent l="0" t="0" r="0" b="0"/>
            <wp:docPr id="2" name="Picture 2" descr="C:\Users\DOUGLA~1\AppData\Local\Temp\SNAGHTMLb9e22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LA~1\AppData\Local\Temp\SNAGHTMLb9e225b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018" cy="2868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004" w:rsidRDefault="00542004" w:rsidP="00615055">
      <w:r w:rsidRPr="00542004">
        <w:rPr>
          <w:b/>
        </w:rPr>
        <w:t>Additional Information</w:t>
      </w:r>
      <w:r>
        <w:t xml:space="preserve"> will open a new tab for the GUS information page:</w:t>
      </w:r>
    </w:p>
    <w:p w:rsidR="00542004" w:rsidRDefault="00542004" w:rsidP="00615055">
      <w:r>
        <w:rPr>
          <w:noProof/>
        </w:rPr>
        <w:drawing>
          <wp:inline distT="0" distB="0" distL="0" distR="0">
            <wp:extent cx="4883785" cy="1659277"/>
            <wp:effectExtent l="0" t="0" r="0" b="0"/>
            <wp:docPr id="3" name="Picture 3" descr="C:\Users\DOUGLA~1\AppData\Local\Temp\SNAGHTMLb9f25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UGLA~1\AppData\Local\Temp\SNAGHTMLb9f25a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24" cy="1663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660" w:rsidRDefault="00560660" w:rsidP="00560660">
      <w:pPr>
        <w:pStyle w:val="Heading2"/>
      </w:pPr>
      <w:bookmarkStart w:id="4" w:name="_Toc504565624"/>
      <w:r>
        <w:lastRenderedPageBreak/>
        <w:t>Delegating and Reassigning Reviews</w:t>
      </w:r>
      <w:bookmarkEnd w:id="4"/>
    </w:p>
    <w:p w:rsidR="00560660" w:rsidRDefault="00560660" w:rsidP="00560660">
      <w:r>
        <w:t>If you will be unable to complete your reviews in the scheduled time, you can delegate an UAMS employee to pr</w:t>
      </w:r>
      <w:r w:rsidR="008374C3">
        <w:t xml:space="preserve">ocess reviews on your behalf.  </w:t>
      </w:r>
      <w:r>
        <w:t>Additi</w:t>
      </w:r>
      <w:r w:rsidR="008374C3">
        <w:t xml:space="preserve">onally, if any employees are incorrectly assigned to you, you may have them reassigned to the correct supervisor.  </w:t>
      </w:r>
    </w:p>
    <w:p w:rsidR="008374C3" w:rsidRDefault="008374C3" w:rsidP="00560660">
      <w:r>
        <w:t xml:space="preserve">To delegate or reassign, please contact IT Security </w:t>
      </w:r>
      <w:r w:rsidR="008838B3">
        <w:t xml:space="preserve">at </w:t>
      </w:r>
      <w:hyperlink r:id="rId13" w:history="1">
        <w:r w:rsidR="008838B3" w:rsidRPr="002C120E">
          <w:rPr>
            <w:rStyle w:val="Hyperlink"/>
          </w:rPr>
          <w:t>Techsupportcenter@uams.edu</w:t>
        </w:r>
      </w:hyperlink>
      <w:r w:rsidR="008838B3">
        <w:t xml:space="preserve"> </w:t>
      </w:r>
      <w:r>
        <w:t>and they will perform the actions on your behalf.</w:t>
      </w:r>
    </w:p>
    <w:p w:rsidR="008374C3" w:rsidRPr="00560660" w:rsidRDefault="008374C3" w:rsidP="00560660"/>
    <w:p w:rsidR="004B28B7" w:rsidRDefault="004B28B7" w:rsidP="007B1710"/>
    <w:p w:rsidR="00F94CE8" w:rsidRDefault="00F94CE8" w:rsidP="007B1710"/>
    <w:p w:rsidR="002140C4" w:rsidRDefault="002140C4" w:rsidP="007B1710"/>
    <w:p w:rsidR="00F627D2" w:rsidRDefault="00F627D2" w:rsidP="00F627D2">
      <w:r>
        <w:t xml:space="preserve"> </w:t>
      </w:r>
    </w:p>
    <w:p w:rsidR="00435E20" w:rsidRDefault="00435E20" w:rsidP="00F627D2"/>
    <w:p w:rsidR="00805291" w:rsidRDefault="00805291" w:rsidP="00F627D2"/>
    <w:p w:rsidR="00E5719B" w:rsidRDefault="00E5719B" w:rsidP="00F627D2"/>
    <w:sectPr w:rsidR="00E57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311"/>
    <w:multiLevelType w:val="hybridMultilevel"/>
    <w:tmpl w:val="934E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62FB3"/>
    <w:multiLevelType w:val="hybridMultilevel"/>
    <w:tmpl w:val="BE60E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10"/>
    <w:rsid w:val="000165E3"/>
    <w:rsid w:val="00035D78"/>
    <w:rsid w:val="00093348"/>
    <w:rsid w:val="000A490E"/>
    <w:rsid w:val="00147C2A"/>
    <w:rsid w:val="00165CD3"/>
    <w:rsid w:val="001B0260"/>
    <w:rsid w:val="001C2662"/>
    <w:rsid w:val="001F47B9"/>
    <w:rsid w:val="002140C4"/>
    <w:rsid w:val="00243C49"/>
    <w:rsid w:val="002C2C30"/>
    <w:rsid w:val="002C3361"/>
    <w:rsid w:val="002C37F6"/>
    <w:rsid w:val="00393C3D"/>
    <w:rsid w:val="003D6604"/>
    <w:rsid w:val="003F2301"/>
    <w:rsid w:val="00435E20"/>
    <w:rsid w:val="004B28B7"/>
    <w:rsid w:val="00505895"/>
    <w:rsid w:val="00542004"/>
    <w:rsid w:val="00542F10"/>
    <w:rsid w:val="005532F7"/>
    <w:rsid w:val="00560660"/>
    <w:rsid w:val="005660AC"/>
    <w:rsid w:val="005778A8"/>
    <w:rsid w:val="0059639F"/>
    <w:rsid w:val="00615055"/>
    <w:rsid w:val="00637487"/>
    <w:rsid w:val="00676DBD"/>
    <w:rsid w:val="0074564E"/>
    <w:rsid w:val="007A2FA8"/>
    <w:rsid w:val="007B1710"/>
    <w:rsid w:val="00805291"/>
    <w:rsid w:val="008374C3"/>
    <w:rsid w:val="00856847"/>
    <w:rsid w:val="00857456"/>
    <w:rsid w:val="00875D90"/>
    <w:rsid w:val="008838B3"/>
    <w:rsid w:val="00886FF4"/>
    <w:rsid w:val="008E670C"/>
    <w:rsid w:val="009762B1"/>
    <w:rsid w:val="00A7746E"/>
    <w:rsid w:val="00AA0F2F"/>
    <w:rsid w:val="00AD4212"/>
    <w:rsid w:val="00B24798"/>
    <w:rsid w:val="00B41232"/>
    <w:rsid w:val="00B743E4"/>
    <w:rsid w:val="00B96622"/>
    <w:rsid w:val="00C25B59"/>
    <w:rsid w:val="00CB7B8A"/>
    <w:rsid w:val="00E5719B"/>
    <w:rsid w:val="00F627D2"/>
    <w:rsid w:val="00F94CE8"/>
    <w:rsid w:val="00FC5C4A"/>
    <w:rsid w:val="00FF4B12"/>
    <w:rsid w:val="00FF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0EE8A4-81F7-431B-B888-74CB8874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17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1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7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B171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B17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C336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243C4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243C4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43C4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supportcenter@uams.edu" TargetMode="External"/><Relationship Id="rId13" Type="http://schemas.openxmlformats.org/officeDocument/2006/relationships/hyperlink" Target="mailto:Techsupportcenter@uams.edu" TargetMode="External"/><Relationship Id="rId3" Type="http://schemas.openxmlformats.org/officeDocument/2006/relationships/styles" Target="styles.xml"/><Relationship Id="rId7" Type="http://schemas.openxmlformats.org/officeDocument/2006/relationships/hyperlink" Target="http://apps.uams.edu/GUSSecurityAudit" TargetMode="Externa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8708B-14D4-4D6D-838F-C0CEBAD4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2753</TotalTime>
  <Pages>5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Douglass, Keri M</dc:creator>
  <cp:keywords/>
  <dc:description/>
  <cp:lastModifiedBy>Douglass, Keri M</cp:lastModifiedBy>
  <cp:revision>7</cp:revision>
  <cp:lastPrinted>2017-04-14T14:52:00Z</cp:lastPrinted>
  <dcterms:created xsi:type="dcterms:W3CDTF">2018-01-22T21:40:00Z</dcterms:created>
  <dcterms:modified xsi:type="dcterms:W3CDTF">2018-01-24T20:30:00Z</dcterms:modified>
</cp:coreProperties>
</file>